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4B" w:rsidRPr="00A550C8" w:rsidRDefault="0006344B" w:rsidP="0006344B">
      <w:pPr>
        <w:spacing w:line="360" w:lineRule="auto"/>
        <w:jc w:val="center"/>
        <w:rPr>
          <w:rFonts w:ascii="黑体" w:eastAsia="黑体" w:hAnsi="宋体" w:hint="eastAsia"/>
          <w:sz w:val="36"/>
          <w:szCs w:val="36"/>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20185_WPSOffice_Level2"/>
      <w:r w:rsidRPr="00A550C8">
        <w:rPr>
          <w:rFonts w:ascii="黑体" w:eastAsia="黑体" w:hAnsi="ˎ̥" w:cs="宋体" w:hint="eastAsia"/>
          <w:b/>
          <w:bCs/>
          <w:kern w:val="0"/>
          <w:sz w:val="32"/>
          <w:szCs w:val="32"/>
        </w:rPr>
        <w:t>人文社会科学学院</w:t>
      </w:r>
      <w:r w:rsidRPr="00A550C8">
        <w:rPr>
          <w:rFonts w:ascii="黑体" w:eastAsia="黑体" w:hAnsi="宋体" w:hint="eastAsia"/>
          <w:b/>
          <w:bCs/>
          <w:sz w:val="32"/>
          <w:szCs w:val="32"/>
        </w:rPr>
        <w:t>教学督导组工作细则</w:t>
      </w:r>
      <w:bookmarkEnd w:id="0"/>
    </w:p>
    <w:p w:rsidR="0006344B" w:rsidRPr="00A550C8" w:rsidRDefault="0006344B" w:rsidP="0006344B">
      <w:pPr>
        <w:spacing w:line="360" w:lineRule="auto"/>
        <w:ind w:firstLineChars="200" w:firstLine="643"/>
        <w:jc w:val="center"/>
        <w:rPr>
          <w:rFonts w:ascii="宋体" w:hAnsi="宋体" w:hint="eastAsia"/>
          <w:b/>
          <w:sz w:val="32"/>
          <w:szCs w:val="32"/>
        </w:rPr>
      </w:pP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一、在学校教学督导组和院长的领导下，按照国家对高等学校教学质量和教学规范的要求，对本院的教学过程进行全面监督和指导。</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二、依照“普通高等学校本科教学工作水平评估指标等级”的要求，对本院的教学研究、教学过程、教学质量、教学条件、教学的后勤服务的等各个环节进行检查，并及时地向院长反馈信息。</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三、经常性地深入课堂听课，检查教师的教学和学生的学习情况。</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四、开学</w:t>
      </w:r>
      <w:proofErr w:type="gramStart"/>
      <w:r w:rsidRPr="00A550C8">
        <w:rPr>
          <w:rFonts w:ascii="宋体" w:hAnsi="宋体" w:hint="eastAsia"/>
          <w:sz w:val="24"/>
        </w:rPr>
        <w:t>初检查</w:t>
      </w:r>
      <w:proofErr w:type="gramEnd"/>
      <w:r w:rsidRPr="00A550C8">
        <w:rPr>
          <w:rFonts w:ascii="宋体" w:hAnsi="宋体" w:hint="eastAsia"/>
          <w:sz w:val="24"/>
        </w:rPr>
        <w:t>教师的教学准备和教学管理部门的教学保障情况，学生和教师的出勤情况。</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五、期中按照教学检查的要求，协助院长对本院的思想政治理论课和专业课教学进行检查。</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六、期末协助院长对试卷命题、标准答案的制订、试卷存放保密、教师的监考、学生的考试、试卷的评阅、成绩的登录等各个环节进行全面监控。</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七、经常性地向院长及其他领导反映教学过程、教学管理过程以及学生存在的问题，并提出改进意见，促进良好的教风学风的形成。</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八、通过听课等途径对教师特别是青年教师的课堂教学水平与课堂管理能力进行全面了解，提高全体教师特别是青年教师的课堂教学和课堂管理能力。</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九、根据教学督导过程中的收获和存在的问题进行专题研讨，带领全体教师不断深化教学改革，提高教学质量。</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十、经常性地调查了解广大师生对学校和学院教学管理的意见、建议和要求并及时反馈，帮助校、院教学管理和服务部门有的放矢地改进工作。</w:t>
      </w:r>
    </w:p>
    <w:p w:rsidR="0006344B" w:rsidRPr="00A550C8" w:rsidRDefault="0006344B" w:rsidP="0006344B">
      <w:pPr>
        <w:spacing w:line="360" w:lineRule="auto"/>
        <w:ind w:firstLineChars="200" w:firstLine="480"/>
        <w:rPr>
          <w:rFonts w:ascii="宋体" w:hAnsi="宋体" w:hint="eastAsia"/>
          <w:sz w:val="24"/>
        </w:rPr>
      </w:pPr>
      <w:r w:rsidRPr="00A550C8">
        <w:rPr>
          <w:rFonts w:ascii="宋体" w:hAnsi="宋体" w:hint="eastAsia"/>
          <w:sz w:val="24"/>
        </w:rPr>
        <w:t>十一、常态性督导课堂政治纪律、授课内容是否违背党的路线方针政策，是否违反党的政治纪律和政治规矩，是否违反党的宗教政策、利用课堂传播宗教思想、邪教和其他错误思想观点等，是否违</w:t>
      </w:r>
      <w:bookmarkStart w:id="1" w:name="_GoBack"/>
      <w:bookmarkEnd w:id="1"/>
      <w:r w:rsidRPr="00A550C8">
        <w:rPr>
          <w:rFonts w:ascii="宋体" w:hAnsi="宋体" w:hint="eastAsia"/>
          <w:sz w:val="24"/>
        </w:rPr>
        <w:t>反学校课堂纪律等。</w:t>
      </w:r>
    </w:p>
    <w:p w:rsidR="0006344B" w:rsidRPr="00A550C8" w:rsidRDefault="0006344B" w:rsidP="0006344B">
      <w:pPr>
        <w:spacing w:line="360" w:lineRule="auto"/>
        <w:rPr>
          <w:rFonts w:ascii="宋体" w:hAnsi="宋体" w:hint="eastAsia"/>
          <w:sz w:val="24"/>
        </w:rPr>
      </w:pPr>
    </w:p>
    <w:p w:rsidR="0006344B" w:rsidRPr="00A550C8" w:rsidRDefault="0006344B" w:rsidP="0006344B">
      <w:pPr>
        <w:spacing w:line="360" w:lineRule="auto"/>
        <w:ind w:right="120" w:firstLineChars="200" w:firstLine="480"/>
        <w:jc w:val="right"/>
        <w:rPr>
          <w:rFonts w:ascii="宋体" w:hAnsi="宋体" w:hint="eastAsia"/>
          <w:sz w:val="24"/>
        </w:rPr>
      </w:pPr>
      <w:r w:rsidRPr="00A550C8">
        <w:rPr>
          <w:rFonts w:ascii="宋体" w:hAnsi="宋体" w:hint="eastAsia"/>
          <w:sz w:val="24"/>
        </w:rPr>
        <w:t>人文社会科学学院</w:t>
      </w:r>
    </w:p>
    <w:p w:rsidR="00CA1804" w:rsidRDefault="0006344B" w:rsidP="0006344B">
      <w:pPr>
        <w:jc w:val="right"/>
      </w:pPr>
      <w:r w:rsidRPr="00A550C8">
        <w:rPr>
          <w:rFonts w:ascii="宋体" w:hAnsi="宋体" w:hint="eastAsia"/>
          <w:sz w:val="24"/>
        </w:rPr>
        <w:t>201</w:t>
      </w:r>
      <w:r w:rsidRPr="00A550C8">
        <w:rPr>
          <w:rFonts w:ascii="宋体" w:hAnsi="宋体"/>
          <w:sz w:val="24"/>
        </w:rPr>
        <w:t>8</w:t>
      </w:r>
      <w:r w:rsidRPr="00A550C8">
        <w:rPr>
          <w:rFonts w:ascii="宋体" w:hAnsi="宋体" w:hint="eastAsia"/>
          <w:sz w:val="24"/>
        </w:rPr>
        <w:t>年11月</w:t>
      </w:r>
      <w:r w:rsidRPr="00A550C8">
        <w:rPr>
          <w:rFonts w:ascii="宋体" w:hAnsi="宋体"/>
          <w:sz w:val="24"/>
        </w:rPr>
        <w:t>2</w:t>
      </w:r>
      <w:r w:rsidRPr="00A550C8">
        <w:rPr>
          <w:rFonts w:ascii="宋体" w:hAnsi="宋体" w:hint="eastAsia"/>
          <w:sz w:val="24"/>
        </w:rPr>
        <w:t>5日</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5D" w:rsidRDefault="00246B5D" w:rsidP="0006344B">
      <w:r>
        <w:separator/>
      </w:r>
    </w:p>
  </w:endnote>
  <w:endnote w:type="continuationSeparator" w:id="0">
    <w:p w:rsidR="00246B5D" w:rsidRDefault="00246B5D" w:rsidP="0006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5D" w:rsidRDefault="00246B5D" w:rsidP="0006344B">
      <w:r>
        <w:separator/>
      </w:r>
    </w:p>
  </w:footnote>
  <w:footnote w:type="continuationSeparator" w:id="0">
    <w:p w:rsidR="00246B5D" w:rsidRDefault="00246B5D" w:rsidP="0006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04"/>
    <w:rsid w:val="00047578"/>
    <w:rsid w:val="0006344B"/>
    <w:rsid w:val="000B1AE2"/>
    <w:rsid w:val="00234104"/>
    <w:rsid w:val="0024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344B"/>
    <w:rPr>
      <w:sz w:val="18"/>
      <w:szCs w:val="18"/>
    </w:rPr>
  </w:style>
  <w:style w:type="paragraph" w:styleId="a4">
    <w:name w:val="footer"/>
    <w:basedOn w:val="a"/>
    <w:link w:val="Char0"/>
    <w:uiPriority w:val="99"/>
    <w:unhideWhenUsed/>
    <w:rsid w:val="00063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34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344B"/>
    <w:rPr>
      <w:sz w:val="18"/>
      <w:szCs w:val="18"/>
    </w:rPr>
  </w:style>
  <w:style w:type="paragraph" w:styleId="a4">
    <w:name w:val="footer"/>
    <w:basedOn w:val="a"/>
    <w:link w:val="Char0"/>
    <w:uiPriority w:val="99"/>
    <w:unhideWhenUsed/>
    <w:rsid w:val="00063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34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Company>China</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2019-12-04T08:08:00Z</dcterms:created>
  <dcterms:modified xsi:type="dcterms:W3CDTF">2019-12-04T08:08:00Z</dcterms:modified>
</cp:coreProperties>
</file>